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infacheTabelle1"/>
        <w:tblW w:w="14454" w:type="dxa"/>
        <w:tblLook w:val="04A0" w:firstRow="1" w:lastRow="0" w:firstColumn="1" w:lastColumn="0" w:noHBand="0" w:noVBand="1"/>
      </w:tblPr>
      <w:tblGrid>
        <w:gridCol w:w="2689"/>
        <w:gridCol w:w="5882"/>
        <w:gridCol w:w="5883"/>
      </w:tblGrid>
      <w:tr w:rsidR="00AD2F98" w:rsidRPr="00A20B9C" w:rsidTr="00821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3"/>
            <w:shd w:val="clear" w:color="auto" w:fill="D9D9D9" w:themeFill="background1" w:themeFillShade="D9"/>
          </w:tcPr>
          <w:p w:rsidR="00AD2F98" w:rsidRPr="0094184E" w:rsidRDefault="0094184E" w:rsidP="0094184E">
            <w:pPr>
              <w:jc w:val="center"/>
              <w:rPr>
                <w:rFonts w:ascii="Corbel" w:hAnsi="Corbel"/>
                <w:lang w:val="en-US"/>
              </w:rPr>
            </w:pPr>
            <w:r>
              <w:rPr>
                <w:lang w:val="en-US"/>
              </w:rPr>
              <w:t>Te</w:t>
            </w:r>
            <w:r w:rsidRPr="0094184E">
              <w:rPr>
                <w:lang w:val="en-US"/>
              </w:rPr>
              <w:t>mplate 4B. Associate the instruments (existing or new) with the opportunities identified in task 3C</w:t>
            </w:r>
            <w:r w:rsidR="00AD2F98" w:rsidRPr="0094184E">
              <w:rPr>
                <w:rFonts w:ascii="Corbel" w:hAnsi="Corbel"/>
                <w:lang w:val="en-US"/>
              </w:rPr>
              <w:t xml:space="preserve"> </w:t>
            </w:r>
            <w:r w:rsidR="00AD2F98" w:rsidRPr="0094184E">
              <w:rPr>
                <w:lang w:val="en-US"/>
              </w:rPr>
              <w:t>(</w:t>
            </w:r>
            <w:r>
              <w:rPr>
                <w:lang w:val="en-US"/>
              </w:rPr>
              <w:t>Example</w:t>
            </w:r>
            <w:r w:rsidR="00AD2F98" w:rsidRPr="0094184E">
              <w:rPr>
                <w:lang w:val="en-US"/>
              </w:rPr>
              <w:t xml:space="preserve"> Puerto Carreño, Colombia)</w:t>
            </w:r>
          </w:p>
        </w:tc>
      </w:tr>
      <w:tr w:rsidR="00AD2F98" w:rsidRPr="00A20B9C" w:rsidTr="00AD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AD2F98" w:rsidRPr="0094184E" w:rsidRDefault="0094184E" w:rsidP="00821DC0">
            <w:pPr>
              <w:rPr>
                <w:rFonts w:ascii="Corbel" w:hAnsi="Corbel"/>
                <w:b w:val="0"/>
                <w:lang w:val="en-US"/>
              </w:rPr>
            </w:pPr>
            <w:r w:rsidRPr="0094184E">
              <w:rPr>
                <w:lang w:val="en-US"/>
              </w:rPr>
              <w:t>ES Opportunity (from task 3C)</w:t>
            </w:r>
          </w:p>
        </w:tc>
        <w:tc>
          <w:tcPr>
            <w:tcW w:w="11765" w:type="dxa"/>
            <w:gridSpan w:val="2"/>
            <w:vAlign w:val="center"/>
          </w:tcPr>
          <w:p w:rsidR="00AD2F98" w:rsidRPr="0094184E" w:rsidRDefault="0094184E" w:rsidP="00AD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lang w:val="en-US"/>
              </w:rPr>
            </w:pPr>
            <w:r w:rsidRPr="0094184E">
              <w:rPr>
                <w:b/>
                <w:lang w:val="en-US"/>
              </w:rPr>
              <w:t>Proposal for instrument (existing or new)</w:t>
            </w:r>
          </w:p>
        </w:tc>
      </w:tr>
      <w:tr w:rsidR="00AD2F98" w:rsidRPr="00A20B9C" w:rsidTr="00AD2F98">
        <w:trPr>
          <w:trHeight w:val="2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94184E" w:rsidRDefault="003D504E" w:rsidP="00AD2F98">
            <w:pPr>
              <w:spacing w:after="16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de-DE"/>
              </w:rPr>
              <w:t>SUSTAINABLE CATTLE PRODUCTION SYSTEMS</w:t>
            </w:r>
            <w:r w:rsidR="00AD2F98" w:rsidRPr="009418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de-DE"/>
              </w:rPr>
              <w:t xml:space="preserve">: </w:t>
            </w:r>
          </w:p>
          <w:p w:rsidR="008F3211" w:rsidRDefault="008F3211" w:rsidP="00AD2F98">
            <w:pPr>
              <w:spacing w:after="160"/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</w:pPr>
            <w:r w:rsidRPr="008F3211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  <w:t xml:space="preserve">Supporting </w:t>
            </w:r>
            <w: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  <w:t>cattle farmers</w:t>
            </w:r>
            <w:r w:rsidRPr="008F3211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  <w:t xml:space="preserve"> to implement systems that increase productivity while protecting biodiversity and the provision of other benefits from native savannas</w:t>
            </w:r>
            <w:r w:rsidR="00AD2F98" w:rsidRPr="008F3211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  <w:t xml:space="preserve"> (e</w:t>
            </w:r>
            <w: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  <w:t>.g. water filtration for aquifer recharge</w:t>
            </w:r>
            <w:r w:rsidR="00AD2F98" w:rsidRPr="008F3211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  <w:t>).</w:t>
            </w:r>
          </w:p>
          <w:p w:rsidR="008F3211" w:rsidRDefault="008F3211" w:rsidP="008F3211">
            <w:pPr>
              <w:spacing w:after="160"/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</w:pPr>
            <w:r w:rsidRPr="008F3211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  <w:t>Practices in such systems include ma</w:t>
            </w:r>
            <w:r w:rsidR="003D504E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  <w:t>i</w:t>
            </w:r>
            <w:r w:rsidRPr="008F3211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  <w:t xml:space="preserve">ntenance or </w:t>
            </w:r>
            <w:r w:rsidR="003D504E" w:rsidRPr="008F3211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  <w:t>extension</w:t>
            </w:r>
            <w:r w:rsidRPr="008F3211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  <w:t xml:space="preserve"> of native savanna areas, establishment of silvo</w:t>
            </w:r>
            <w:r w:rsidR="003D504E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  <w:t>-</w:t>
            </w:r>
            <w:r w:rsidRPr="008F3211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  <w:t xml:space="preserve">pastoral systems adapted to savanna conditions (e.g. fodder suitable for the savanna). </w:t>
            </w:r>
          </w:p>
          <w:p w:rsidR="008F3211" w:rsidRPr="008F3211" w:rsidRDefault="008F3211" w:rsidP="008F3211">
            <w:pPr>
              <w:spacing w:after="160"/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</w:pPr>
            <w:r w:rsidRPr="008F3211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  <w:t>Support for cattle farmers would consist of te</w:t>
            </w:r>
            <w: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val="en-US" w:eastAsia="de-DE"/>
              </w:rPr>
              <w:t xml:space="preserve">chnical assistance, provision of financial resources (PSE, credits), environmental education, and support to projects, among other. </w:t>
            </w:r>
          </w:p>
          <w:p w:rsidR="00AD2F98" w:rsidRPr="003D504E" w:rsidRDefault="00AD2F98" w:rsidP="008F3211">
            <w:pPr>
              <w:spacing w:after="160"/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  <w:tc>
          <w:tcPr>
            <w:tcW w:w="11765" w:type="dxa"/>
            <w:gridSpan w:val="2"/>
          </w:tcPr>
          <w:p w:rsidR="00AD2F98" w:rsidRPr="008F3211" w:rsidRDefault="008F3211" w:rsidP="00AD2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8F3211">
              <w:rPr>
                <w:b/>
                <w:sz w:val="20"/>
                <w:szCs w:val="20"/>
                <w:lang w:val="en-US"/>
              </w:rPr>
              <w:t>Payments for Ecosystem Services</w:t>
            </w:r>
            <w:r w:rsidR="00224A4A">
              <w:rPr>
                <w:b/>
                <w:sz w:val="20"/>
                <w:szCs w:val="20"/>
                <w:lang w:val="en-US"/>
              </w:rPr>
              <w:t xml:space="preserve"> - PES</w:t>
            </w:r>
          </w:p>
          <w:p w:rsidR="008F3211" w:rsidRPr="008F3211" w:rsidRDefault="00A20B9C" w:rsidP="00AD2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="008F3211" w:rsidRPr="008F3211">
              <w:rPr>
                <w:sz w:val="20"/>
                <w:szCs w:val="20"/>
                <w:lang w:val="en-US"/>
              </w:rPr>
              <w:t xml:space="preserve">oluntary agreements between the beneficiaries of </w:t>
            </w:r>
            <w:r w:rsidR="008F3211">
              <w:rPr>
                <w:sz w:val="20"/>
                <w:szCs w:val="20"/>
                <w:lang w:val="en-US"/>
              </w:rPr>
              <w:t xml:space="preserve">ES and ES </w:t>
            </w:r>
            <w:r>
              <w:rPr>
                <w:sz w:val="20"/>
                <w:szCs w:val="20"/>
                <w:lang w:val="en-US"/>
              </w:rPr>
              <w:t>the stewards. The payment could be</w:t>
            </w:r>
            <w:r w:rsidR="008F3211">
              <w:rPr>
                <w:sz w:val="20"/>
                <w:szCs w:val="20"/>
                <w:lang w:val="en-US"/>
              </w:rPr>
              <w:t xml:space="preserve"> based on opportunity cost</w:t>
            </w:r>
            <w:r>
              <w:rPr>
                <w:sz w:val="20"/>
                <w:szCs w:val="20"/>
                <w:lang w:val="en-US"/>
              </w:rPr>
              <w:t>s. Measures paid for include con</w:t>
            </w:r>
            <w:r w:rsidR="008F3211">
              <w:rPr>
                <w:sz w:val="20"/>
                <w:szCs w:val="20"/>
                <w:lang w:val="en-US"/>
              </w:rPr>
              <w:t>servation and restoration (inclusive silvo-</w:t>
            </w:r>
            <w:r w:rsidR="00224A4A">
              <w:rPr>
                <w:sz w:val="20"/>
                <w:szCs w:val="20"/>
                <w:lang w:val="en-US"/>
              </w:rPr>
              <w:t>pastoral and agroforestry systems). Decree 870/2017 establishes PES elements and other conservation incentives. Decree 1007/2018 establishes general components for the design and implementation of PES projects.</w:t>
            </w:r>
          </w:p>
          <w:p w:rsidR="00AD2F98" w:rsidRPr="0094184E" w:rsidRDefault="00AD2F98" w:rsidP="00AD2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CO"/>
              </w:rPr>
            </w:pPr>
            <w:r w:rsidRPr="0094184E">
              <w:rPr>
                <w:b/>
                <w:sz w:val="20"/>
                <w:szCs w:val="20"/>
                <w:lang w:val="es-CO"/>
              </w:rPr>
              <w:t>ICR-</w:t>
            </w:r>
            <w:r w:rsidR="00224A4A">
              <w:rPr>
                <w:b/>
                <w:sz w:val="20"/>
                <w:szCs w:val="20"/>
                <w:lang w:val="es-CO"/>
              </w:rPr>
              <w:t xml:space="preserve"> Rural Capitalization Incentive</w:t>
            </w:r>
            <w:r w:rsidRPr="0094184E">
              <w:rPr>
                <w:b/>
                <w:sz w:val="20"/>
                <w:szCs w:val="20"/>
                <w:lang w:val="es-CO"/>
              </w:rPr>
              <w:t xml:space="preserve">: </w:t>
            </w:r>
          </w:p>
          <w:p w:rsidR="00AD2F98" w:rsidRPr="00224A4A" w:rsidRDefault="00224A4A" w:rsidP="00224A4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 w:rsidRPr="00224A4A">
              <w:rPr>
                <w:sz w:val="20"/>
                <w:szCs w:val="20"/>
                <w:lang w:val="en-US"/>
              </w:rPr>
              <w:t>Credit to encourage sustainable productive activities, including silvo</w:t>
            </w:r>
            <w:r w:rsidR="003D504E">
              <w:rPr>
                <w:sz w:val="20"/>
                <w:szCs w:val="20"/>
                <w:lang w:val="en-US"/>
              </w:rPr>
              <w:t>-</w:t>
            </w:r>
            <w:r w:rsidRPr="00224A4A">
              <w:rPr>
                <w:sz w:val="20"/>
                <w:szCs w:val="20"/>
                <w:lang w:val="en-US"/>
              </w:rPr>
              <w:t>pastoral systems.</w:t>
            </w:r>
            <w:r w:rsidR="00AD2F98" w:rsidRPr="00224A4A">
              <w:rPr>
                <w:sz w:val="20"/>
                <w:szCs w:val="20"/>
                <w:lang w:val="en-US"/>
              </w:rPr>
              <w:t xml:space="preserve"> </w:t>
            </w:r>
          </w:p>
          <w:p w:rsidR="00AD2F98" w:rsidRPr="00224A4A" w:rsidRDefault="00224A4A" w:rsidP="00224A4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 w:rsidRPr="00224A4A">
              <w:rPr>
                <w:sz w:val="20"/>
                <w:szCs w:val="20"/>
                <w:lang w:val="en-US"/>
              </w:rPr>
              <w:t>Economic benefit</w:t>
            </w:r>
            <w:r w:rsidR="00A20B9C">
              <w:rPr>
                <w:sz w:val="20"/>
                <w:szCs w:val="20"/>
                <w:lang w:val="en-US"/>
              </w:rPr>
              <w:t>s</w:t>
            </w:r>
            <w:r w:rsidRPr="00224A4A">
              <w:rPr>
                <w:sz w:val="20"/>
                <w:szCs w:val="20"/>
                <w:lang w:val="en-US"/>
              </w:rPr>
              <w:t xml:space="preserve"> granted to implement a new investment project, in order to improve the competitiveness and sustainability of agricultural production and to reduce its risks in a</w:t>
            </w:r>
            <w:r>
              <w:rPr>
                <w:sz w:val="20"/>
                <w:szCs w:val="20"/>
                <w:lang w:val="en-US"/>
              </w:rPr>
              <w:t>n</w:t>
            </w:r>
            <w:r w:rsidRPr="00224A4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enduring</w:t>
            </w:r>
            <w:r w:rsidR="00A20B9C">
              <w:rPr>
                <w:sz w:val="20"/>
                <w:szCs w:val="20"/>
                <w:lang w:val="en-US"/>
              </w:rPr>
              <w:t xml:space="preserve"> way</w:t>
            </w:r>
            <w:r w:rsidR="00AD2F98" w:rsidRPr="00224A4A">
              <w:rPr>
                <w:sz w:val="20"/>
                <w:szCs w:val="20"/>
                <w:lang w:val="en-US"/>
              </w:rPr>
              <w:t xml:space="preserve"> (Minagricultura-Finagro). </w:t>
            </w:r>
          </w:p>
          <w:p w:rsidR="00AD2F98" w:rsidRPr="003D504E" w:rsidRDefault="00AD2F98" w:rsidP="00AD2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 w:rsidRPr="003D504E">
              <w:rPr>
                <w:sz w:val="20"/>
                <w:szCs w:val="20"/>
                <w:lang w:val="es-CO"/>
              </w:rPr>
              <w:tab/>
            </w:r>
            <w:r w:rsidRPr="00AD2F98">
              <w:rPr>
                <w:sz w:val="20"/>
                <w:szCs w:val="20"/>
                <w:lang w:val="es-ES"/>
              </w:rPr>
              <w:t xml:space="preserve">ICR Plan Colombia Siembra (ej. </w:t>
            </w:r>
            <w:r w:rsidR="00224A4A" w:rsidRPr="003D504E">
              <w:rPr>
                <w:sz w:val="20"/>
                <w:szCs w:val="20"/>
                <w:lang w:val="en-US"/>
              </w:rPr>
              <w:t>Silvo</w:t>
            </w:r>
            <w:r w:rsidR="003D504E">
              <w:rPr>
                <w:sz w:val="20"/>
                <w:szCs w:val="20"/>
                <w:lang w:val="en-US"/>
              </w:rPr>
              <w:t>-</w:t>
            </w:r>
            <w:r w:rsidR="00224A4A" w:rsidRPr="003D504E">
              <w:rPr>
                <w:sz w:val="20"/>
                <w:szCs w:val="20"/>
                <w:lang w:val="en-US"/>
              </w:rPr>
              <w:t>pastoral systems</w:t>
            </w:r>
            <w:r w:rsidRPr="003D504E">
              <w:rPr>
                <w:sz w:val="20"/>
                <w:szCs w:val="20"/>
                <w:lang w:val="en-US"/>
              </w:rPr>
              <w:t>)</w:t>
            </w:r>
          </w:p>
          <w:p w:rsidR="00AD2F98" w:rsidRPr="00224A4A" w:rsidRDefault="00AD2F98" w:rsidP="00224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en-US"/>
              </w:rPr>
            </w:pPr>
            <w:r w:rsidRPr="00224A4A">
              <w:rPr>
                <w:b/>
                <w:sz w:val="20"/>
                <w:szCs w:val="20"/>
                <w:lang w:val="en-US"/>
              </w:rPr>
              <w:t>CIF</w:t>
            </w:r>
            <w:r w:rsidR="00224A4A" w:rsidRPr="00224A4A">
              <w:rPr>
                <w:b/>
                <w:sz w:val="20"/>
                <w:szCs w:val="20"/>
                <w:lang w:val="en-US"/>
              </w:rPr>
              <w:t>- Incentive to Forestry Plantation</w:t>
            </w:r>
            <w:r w:rsidRPr="00224A4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24A4A">
              <w:rPr>
                <w:sz w:val="20"/>
                <w:szCs w:val="20"/>
                <w:lang w:val="en-US"/>
              </w:rPr>
              <w:t xml:space="preserve">- </w:t>
            </w:r>
            <w:r w:rsidR="00224A4A" w:rsidRPr="00224A4A">
              <w:rPr>
                <w:sz w:val="20"/>
                <w:szCs w:val="20"/>
                <w:lang w:val="en-US"/>
              </w:rPr>
              <w:t>Based on recognizing 50% of the costs of establishing a (native) forest plantation</w:t>
            </w:r>
            <w:r w:rsidRPr="00224A4A">
              <w:rPr>
                <w:sz w:val="20"/>
                <w:szCs w:val="20"/>
                <w:lang w:val="en-US"/>
              </w:rPr>
              <w:t xml:space="preserve">.  </w:t>
            </w:r>
          </w:p>
        </w:tc>
      </w:tr>
      <w:tr w:rsidR="00AD2F98" w:rsidRPr="00A20B9C" w:rsidTr="00AD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AD2F98" w:rsidRPr="00224A4A" w:rsidRDefault="00AD2F98" w:rsidP="00821DC0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  <w:tc>
          <w:tcPr>
            <w:tcW w:w="5882" w:type="dxa"/>
            <w:vAlign w:val="center"/>
          </w:tcPr>
          <w:p w:rsidR="00AD2F98" w:rsidRPr="0094184E" w:rsidRDefault="0094184E" w:rsidP="00AD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  <w:lang w:val="en-US"/>
              </w:rPr>
            </w:pPr>
            <w:r w:rsidRPr="0094184E">
              <w:rPr>
                <w:b/>
                <w:bCs/>
                <w:lang w:val="en-US"/>
              </w:rPr>
              <w:t>Reasons in favor (of the opportunity and/or the instrument)</w:t>
            </w:r>
          </w:p>
        </w:tc>
        <w:tc>
          <w:tcPr>
            <w:tcW w:w="5883" w:type="dxa"/>
            <w:vAlign w:val="center"/>
          </w:tcPr>
          <w:p w:rsidR="00AD2F98" w:rsidRPr="0094184E" w:rsidRDefault="0094184E" w:rsidP="00AD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sz w:val="20"/>
                <w:szCs w:val="20"/>
                <w:lang w:val="en-US"/>
              </w:rPr>
            </w:pPr>
            <w:r w:rsidRPr="0094184E">
              <w:rPr>
                <w:b/>
                <w:lang w:val="en-US"/>
              </w:rPr>
              <w:t xml:space="preserve">Risks and challenges </w:t>
            </w:r>
            <w:r w:rsidRPr="0094184E">
              <w:rPr>
                <w:b/>
                <w:bCs/>
                <w:lang w:val="en-US"/>
              </w:rPr>
              <w:t>(of the opportunity and/or the instrument)</w:t>
            </w:r>
          </w:p>
        </w:tc>
      </w:tr>
      <w:tr w:rsidR="00AD2F98" w:rsidRPr="00A20B9C" w:rsidTr="002C45C4">
        <w:trPr>
          <w:trHeight w:val="3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AD2F98" w:rsidRPr="0094184E" w:rsidRDefault="00AD2F98" w:rsidP="00821DC0">
            <w:pPr>
              <w:spacing w:after="160"/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  <w:tc>
          <w:tcPr>
            <w:tcW w:w="5882" w:type="dxa"/>
          </w:tcPr>
          <w:p w:rsidR="00224A4A" w:rsidRPr="00224A4A" w:rsidRDefault="00224A4A" w:rsidP="00224A4A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en-US"/>
              </w:rPr>
            </w:pPr>
            <w:r w:rsidRPr="00224A4A">
              <w:rPr>
                <w:sz w:val="20"/>
                <w:szCs w:val="20"/>
                <w:lang w:val="en-US"/>
              </w:rPr>
              <w:t>Extensive cattle raising is the economic activity</w:t>
            </w:r>
            <w:r w:rsidR="00A20B9C">
              <w:rPr>
                <w:sz w:val="20"/>
                <w:szCs w:val="20"/>
                <w:lang w:val="en-US"/>
              </w:rPr>
              <w:t xml:space="preserve"> in the intervention sites that allows </w:t>
            </w:r>
            <w:r w:rsidRPr="00224A4A">
              <w:rPr>
                <w:sz w:val="20"/>
                <w:szCs w:val="20"/>
                <w:lang w:val="en-US"/>
              </w:rPr>
              <w:t xml:space="preserve">the most harmonious development with the savanna ecosystem (compared to other types of activities: e.g. </w:t>
            </w:r>
            <w:r w:rsidR="003D504E">
              <w:rPr>
                <w:sz w:val="20"/>
                <w:szCs w:val="20"/>
                <w:lang w:val="en-US"/>
              </w:rPr>
              <w:t xml:space="preserve">oil </w:t>
            </w:r>
            <w:r w:rsidRPr="00224A4A">
              <w:rPr>
                <w:sz w:val="20"/>
                <w:szCs w:val="20"/>
                <w:lang w:val="en-US"/>
              </w:rPr>
              <w:t>palm, forestry production, cocoa, among others).</w:t>
            </w:r>
          </w:p>
          <w:p w:rsidR="00224A4A" w:rsidRPr="00224A4A" w:rsidRDefault="00224A4A" w:rsidP="00224A4A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en-US"/>
              </w:rPr>
            </w:pPr>
          </w:p>
          <w:p w:rsidR="00AD2F98" w:rsidRPr="00224A4A" w:rsidRDefault="00224A4A" w:rsidP="00224A4A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en-US"/>
              </w:rPr>
            </w:pPr>
            <w:r w:rsidRPr="00224A4A">
              <w:rPr>
                <w:sz w:val="20"/>
                <w:szCs w:val="20"/>
                <w:lang w:val="en-US"/>
              </w:rPr>
              <w:t>This activity is associated with cultural values (</w:t>
            </w:r>
            <w:r>
              <w:rPr>
                <w:sz w:val="20"/>
                <w:szCs w:val="20"/>
                <w:lang w:val="en-US"/>
              </w:rPr>
              <w:t xml:space="preserve">“cultura </w:t>
            </w:r>
            <w:r w:rsidRPr="00224A4A">
              <w:rPr>
                <w:sz w:val="20"/>
                <w:szCs w:val="20"/>
                <w:lang w:val="en-US"/>
              </w:rPr>
              <w:t>llanera</w:t>
            </w:r>
            <w:r>
              <w:rPr>
                <w:sz w:val="20"/>
                <w:szCs w:val="20"/>
                <w:lang w:val="en-US"/>
              </w:rPr>
              <w:t>”</w:t>
            </w:r>
            <w:r w:rsidRPr="00224A4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ranger </w:t>
            </w:r>
            <w:r w:rsidRPr="00224A4A">
              <w:rPr>
                <w:sz w:val="20"/>
                <w:szCs w:val="20"/>
                <w:lang w:val="en-US"/>
              </w:rPr>
              <w:t>culture), which can contribute to the development of other activities such as agro-tourism.</w:t>
            </w:r>
          </w:p>
        </w:tc>
        <w:tc>
          <w:tcPr>
            <w:tcW w:w="5883" w:type="dxa"/>
          </w:tcPr>
          <w:p w:rsidR="00F246C1" w:rsidRPr="003D504E" w:rsidRDefault="00F246C1" w:rsidP="003D504E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246C1">
              <w:rPr>
                <w:sz w:val="20"/>
                <w:szCs w:val="20"/>
                <w:lang w:val="en-US"/>
              </w:rPr>
              <w:t xml:space="preserve">Adequate cattle ranching practices for the savanna need </w:t>
            </w:r>
            <w:r>
              <w:rPr>
                <w:sz w:val="20"/>
                <w:szCs w:val="20"/>
                <w:lang w:val="en-US"/>
              </w:rPr>
              <w:t>to be determined, in order to ensure the con</w:t>
            </w:r>
            <w:r w:rsidR="00A20B9C">
              <w:rPr>
                <w:sz w:val="20"/>
                <w:szCs w:val="20"/>
                <w:lang w:val="en-US"/>
              </w:rPr>
              <w:t>servation of savanna ecosystems.</w:t>
            </w:r>
          </w:p>
          <w:p w:rsidR="00F246C1" w:rsidRDefault="00A20B9C" w:rsidP="00F246C1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Need to e</w:t>
            </w:r>
            <w:r w:rsidR="00F246C1" w:rsidRPr="00F246C1">
              <w:rPr>
                <w:sz w:val="20"/>
                <w:szCs w:val="20"/>
                <w:lang w:val="en-US"/>
              </w:rPr>
              <w:t xml:space="preserve">xamine the PSA law requirements of the areas that are subject to the PSA. E.g. if they are classified under the </w:t>
            </w:r>
            <w:r w:rsidR="00F246C1">
              <w:rPr>
                <w:sz w:val="20"/>
                <w:szCs w:val="20"/>
                <w:lang w:val="en-US"/>
              </w:rPr>
              <w:t>Single Register of Strategic Ecosystems and Environmental Areas</w:t>
            </w:r>
            <w:r w:rsidR="00F246C1" w:rsidRPr="00F246C1">
              <w:rPr>
                <w:sz w:val="20"/>
                <w:szCs w:val="20"/>
                <w:lang w:val="en-US"/>
              </w:rPr>
              <w:t>.</w:t>
            </w:r>
          </w:p>
          <w:p w:rsidR="00F246C1" w:rsidRPr="00F246C1" w:rsidRDefault="00A20B9C" w:rsidP="00F246C1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Need to e</w:t>
            </w:r>
            <w:r w:rsidR="00F246C1" w:rsidRPr="00F246C1">
              <w:rPr>
                <w:sz w:val="20"/>
                <w:szCs w:val="20"/>
                <w:lang w:val="en-US"/>
              </w:rPr>
              <w:t xml:space="preserve">xamine with experts the possibility to combine </w:t>
            </w:r>
            <w:r>
              <w:rPr>
                <w:sz w:val="20"/>
                <w:szCs w:val="20"/>
                <w:lang w:val="en-US"/>
              </w:rPr>
              <w:t xml:space="preserve">PES with </w:t>
            </w:r>
            <w:bookmarkStart w:id="0" w:name="_GoBack"/>
            <w:bookmarkEnd w:id="0"/>
            <w:r w:rsidR="00F246C1" w:rsidRPr="00F246C1">
              <w:rPr>
                <w:sz w:val="20"/>
                <w:szCs w:val="20"/>
                <w:lang w:val="en-US"/>
              </w:rPr>
              <w:t>other incentives from the Ministry of Agricultur</w:t>
            </w:r>
            <w:r w:rsidR="00F246C1"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AD2F98" w:rsidRPr="00F246C1" w:rsidRDefault="00F246C1" w:rsidP="00AD2F98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246C1">
              <w:rPr>
                <w:sz w:val="20"/>
                <w:szCs w:val="20"/>
                <w:lang w:val="en-US"/>
              </w:rPr>
              <w:t>Challenges related to the design and implementation of PES: determination of</w:t>
            </w:r>
            <w:r>
              <w:rPr>
                <w:sz w:val="20"/>
                <w:szCs w:val="20"/>
                <w:lang w:val="en-US"/>
              </w:rPr>
              <w:t xml:space="preserve"> PES scheme management, financial sustainability over time, monitoring of practices paid for. </w:t>
            </w:r>
            <w:r w:rsidR="00AD2F98" w:rsidRPr="00F246C1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D2F98" w:rsidRPr="00F246C1" w:rsidRDefault="00AD2F98" w:rsidP="00AD2F98">
      <w:pPr>
        <w:rPr>
          <w:lang w:val="en-US"/>
        </w:rPr>
      </w:pPr>
    </w:p>
    <w:sectPr w:rsidR="00AD2F98" w:rsidRPr="00F246C1" w:rsidSect="00CB391A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E7B" w:rsidRDefault="00FA1E7B" w:rsidP="00CB391A">
      <w:pPr>
        <w:spacing w:after="0" w:line="240" w:lineRule="auto"/>
      </w:pPr>
      <w:r>
        <w:separator/>
      </w:r>
    </w:p>
  </w:endnote>
  <w:endnote w:type="continuationSeparator" w:id="0">
    <w:p w:rsidR="00FA1E7B" w:rsidRDefault="00FA1E7B" w:rsidP="00CB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E7B" w:rsidRDefault="00FA1E7B" w:rsidP="00CB391A">
      <w:pPr>
        <w:spacing w:after="0" w:line="240" w:lineRule="auto"/>
      </w:pPr>
      <w:r>
        <w:separator/>
      </w:r>
    </w:p>
  </w:footnote>
  <w:footnote w:type="continuationSeparator" w:id="0">
    <w:p w:rsidR="00FA1E7B" w:rsidRDefault="00FA1E7B" w:rsidP="00CB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5C4" w:rsidRDefault="002C45C4" w:rsidP="002C45C4">
    <w:pPr>
      <w:pStyle w:val="Kopfzeile"/>
      <w:jc w:val="right"/>
    </w:pPr>
    <w:r>
      <w:t>V.0</w:t>
    </w:r>
    <w:r w:rsidR="00AD1291">
      <w:t>3</w:t>
    </w:r>
    <w:r>
      <w:t>.</w:t>
    </w:r>
    <w:r w:rsidR="00AD1291"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64075"/>
    <w:multiLevelType w:val="hybridMultilevel"/>
    <w:tmpl w:val="392A730E"/>
    <w:lvl w:ilvl="0" w:tplc="FDC297F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C0334C"/>
    <w:multiLevelType w:val="hybridMultilevel"/>
    <w:tmpl w:val="74044730"/>
    <w:lvl w:ilvl="0" w:tplc="6F64B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24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8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81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EE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6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8A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00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67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1A"/>
    <w:rsid w:val="00210048"/>
    <w:rsid w:val="00224A4A"/>
    <w:rsid w:val="002731DF"/>
    <w:rsid w:val="002C45C4"/>
    <w:rsid w:val="003D504E"/>
    <w:rsid w:val="00492946"/>
    <w:rsid w:val="006820D6"/>
    <w:rsid w:val="00795146"/>
    <w:rsid w:val="008F3211"/>
    <w:rsid w:val="0094184E"/>
    <w:rsid w:val="009A0E59"/>
    <w:rsid w:val="00A20B9C"/>
    <w:rsid w:val="00AD1291"/>
    <w:rsid w:val="00AD2F98"/>
    <w:rsid w:val="00BE6B5E"/>
    <w:rsid w:val="00CB391A"/>
    <w:rsid w:val="00D9203F"/>
    <w:rsid w:val="00F246C1"/>
    <w:rsid w:val="00FA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7DB31-BBB8-4A9D-A09C-F5136B76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39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B391A"/>
    <w:pPr>
      <w:ind w:left="720"/>
      <w:contextualSpacing/>
    </w:pPr>
  </w:style>
  <w:style w:type="character" w:customStyle="1" w:styleId="ListenabsatzZchn">
    <w:name w:val="Listenabsatz Zchn"/>
    <w:link w:val="Listenabsatz"/>
    <w:uiPriority w:val="34"/>
    <w:locked/>
    <w:rsid w:val="00CB391A"/>
  </w:style>
  <w:style w:type="paragraph" w:styleId="Funotentext">
    <w:name w:val="footnote text"/>
    <w:basedOn w:val="Standard"/>
    <w:link w:val="FunotentextZchn"/>
    <w:uiPriority w:val="99"/>
    <w:semiHidden/>
    <w:unhideWhenUsed/>
    <w:rsid w:val="00CB391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391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B391A"/>
    <w:rPr>
      <w:vertAlign w:val="superscript"/>
    </w:rPr>
  </w:style>
  <w:style w:type="table" w:styleId="EinfacheTabelle1">
    <w:name w:val="Plain Table 1"/>
    <w:basedOn w:val="NormaleTabelle"/>
    <w:uiPriority w:val="41"/>
    <w:rsid w:val="00CB39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CB39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C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45C4"/>
  </w:style>
  <w:style w:type="paragraph" w:styleId="Fuzeile">
    <w:name w:val="footer"/>
    <w:basedOn w:val="Standard"/>
    <w:link w:val="FuzeileZchn"/>
    <w:uiPriority w:val="99"/>
    <w:unhideWhenUsed/>
    <w:rsid w:val="002C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4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Munoz Escobar munozesc</dc:creator>
  <cp:keywords/>
  <dc:description/>
  <cp:lastModifiedBy>Julian Rode rodej</cp:lastModifiedBy>
  <cp:revision>2</cp:revision>
  <dcterms:created xsi:type="dcterms:W3CDTF">2020-03-25T15:29:00Z</dcterms:created>
  <dcterms:modified xsi:type="dcterms:W3CDTF">2020-03-25T15:29:00Z</dcterms:modified>
</cp:coreProperties>
</file>