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8"/>
        <w:tblW w:w="5000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83"/>
        <w:gridCol w:w="3182"/>
        <w:gridCol w:w="3138"/>
        <w:gridCol w:w="3138"/>
        <w:gridCol w:w="2973"/>
      </w:tblGrid>
      <w:tr w:rsidR="00F714EE" w:rsidRPr="00B5654B" w14:paraId="34479915" w14:textId="77777777" w:rsidTr="00621CC6">
        <w:trPr>
          <w:cantSplit/>
          <w:trHeight w:val="454"/>
          <w:tblHeader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39633A3" w14:textId="5617B318" w:rsidR="00F714EE" w:rsidRPr="0021247E" w:rsidRDefault="00F714EE" w:rsidP="00017358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e </w:t>
            </w:r>
            <w:r w:rsidR="00BF5D73">
              <w:rPr>
                <w:rFonts w:ascii="Corbel" w:hAnsi="Corbel" w:cs="Segoe UI"/>
                <w:b/>
                <w:sz w:val="20"/>
                <w:szCs w:val="20"/>
              </w:rPr>
              <w:t>5</w:t>
            </w:r>
            <w:r w:rsidR="00017358">
              <w:rPr>
                <w:rFonts w:ascii="Corbel" w:hAnsi="Corbel" w:cs="Segoe UI"/>
                <w:b/>
                <w:sz w:val="20"/>
                <w:szCs w:val="20"/>
              </w:rPr>
              <w:t>C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: </w:t>
            </w:r>
            <w:r w:rsidR="00017358">
              <w:rPr>
                <w:rFonts w:ascii="Corbel" w:hAnsi="Corbel" w:cs="Segoe UI"/>
                <w:b/>
                <w:sz w:val="20"/>
                <w:szCs w:val="20"/>
              </w:rPr>
              <w:t>Specifying additional supporting analyses</w:t>
            </w:r>
            <w:r w:rsidR="00CA462A">
              <w:rPr>
                <w:rFonts w:ascii="Corbel" w:hAnsi="Corbel" w:cs="Segoe UI"/>
                <w:b/>
                <w:sz w:val="20"/>
                <w:szCs w:val="20"/>
              </w:rPr>
              <w:t xml:space="preserve"> – find </w:t>
            </w:r>
            <w:bookmarkStart w:id="0" w:name="_GoBack"/>
            <w:bookmarkEnd w:id="0"/>
            <w:r w:rsidR="00CA462A">
              <w:rPr>
                <w:rFonts w:ascii="Corbel" w:hAnsi="Corbel" w:cs="Segoe UI"/>
                <w:b/>
                <w:sz w:val="20"/>
                <w:szCs w:val="20"/>
              </w:rPr>
              <w:t>explanations below</w:t>
            </w:r>
          </w:p>
        </w:tc>
      </w:tr>
      <w:tr w:rsidR="00F714EE" w:rsidRPr="00B5654B" w14:paraId="2841391D" w14:textId="77777777" w:rsidTr="00F714EE">
        <w:trPr>
          <w:cantSplit/>
          <w:trHeight w:val="651"/>
          <w:tblHeader/>
        </w:trPr>
        <w:tc>
          <w:tcPr>
            <w:tcW w:w="1019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084A265C" w14:textId="5D9CED23" w:rsidR="00F714EE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  <w:t>Type of study or analysis</w:t>
            </w:r>
          </w:p>
        </w:tc>
        <w:tc>
          <w:tcPr>
            <w:tcW w:w="1019" w:type="pct"/>
            <w:tcBorders>
              <w:top w:val="nil"/>
            </w:tcBorders>
            <w:shd w:val="clear" w:color="auto" w:fill="808080" w:themeFill="background1" w:themeFillShade="80"/>
            <w:tcMar>
              <w:bottom w:w="57" w:type="dxa"/>
            </w:tcMar>
            <w:vAlign w:val="center"/>
          </w:tcPr>
          <w:p w14:paraId="5B513B2A" w14:textId="647F5248" w:rsidR="00F714EE" w:rsidRPr="000E6537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What is the purpose of the analysis or study?</w:t>
            </w:r>
          </w:p>
        </w:tc>
        <w:tc>
          <w:tcPr>
            <w:tcW w:w="1005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FFD8D56" w14:textId="75CDA293" w:rsidR="00F714EE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Which questions need to be addressed by the analysis or study?</w:t>
            </w:r>
          </w:p>
        </w:tc>
        <w:tc>
          <w:tcPr>
            <w:tcW w:w="1005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657B284" w14:textId="6882CCE9" w:rsidR="00F714EE" w:rsidRPr="000E6537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Which approach method and data could be used?</w:t>
            </w:r>
          </w:p>
        </w:tc>
        <w:tc>
          <w:tcPr>
            <w:tcW w:w="952" w:type="pct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7D68603F" w14:textId="34582A78" w:rsidR="00F714EE" w:rsidRPr="000E6537" w:rsidRDefault="00017358" w:rsidP="00BF5D73">
            <w:pPr>
              <w:spacing w:before="0" w:after="0"/>
              <w:jc w:val="center"/>
              <w:rPr>
                <w:rFonts w:ascii="Corbel" w:hAnsi="Corbel" w:cs="Segoe UI"/>
                <w:b/>
                <w:color w:val="FFFFFF"/>
                <w:sz w:val="20"/>
                <w:szCs w:val="20"/>
              </w:rPr>
            </w:pPr>
            <w:r>
              <w:rPr>
                <w:rFonts w:ascii="Corbel" w:hAnsi="Corbel" w:cs="Segoe UI"/>
                <w:b/>
                <w:color w:val="FFFFFF"/>
                <w:sz w:val="20"/>
                <w:szCs w:val="20"/>
              </w:rPr>
              <w:t>Who could do the analysis?</w:t>
            </w:r>
          </w:p>
        </w:tc>
      </w:tr>
      <w:tr w:rsidR="00F714EE" w:rsidRPr="00B5654B" w14:paraId="55E6DD99" w14:textId="77777777" w:rsidTr="00C34665">
        <w:trPr>
          <w:trHeight w:val="1319"/>
        </w:trPr>
        <w:tc>
          <w:tcPr>
            <w:tcW w:w="1019" w:type="pct"/>
            <w:shd w:val="clear" w:color="auto" w:fill="D9D9D9" w:themeFill="background1" w:themeFillShade="D9"/>
          </w:tcPr>
          <w:p w14:paraId="7F78C8D3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6938DA7C" w14:textId="1FAE5ED5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430CAA32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4522B5CA" w14:textId="5D23D76F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D9D9D9" w:themeFill="background1" w:themeFillShade="D9"/>
          </w:tcPr>
          <w:p w14:paraId="5FA4F20E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4798AA8E" w14:textId="77777777" w:rsidTr="00C34665">
        <w:trPr>
          <w:trHeight w:val="1319"/>
        </w:trPr>
        <w:tc>
          <w:tcPr>
            <w:tcW w:w="1019" w:type="pct"/>
            <w:shd w:val="clear" w:color="auto" w:fill="BFBFBF" w:themeFill="background1" w:themeFillShade="BF"/>
          </w:tcPr>
          <w:p w14:paraId="0B16B0E3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BFBFBF" w:themeFill="background1" w:themeFillShade="BF"/>
          </w:tcPr>
          <w:p w14:paraId="008CB68E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31442101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1DB2FEC8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BFBFBF" w:themeFill="background1" w:themeFillShade="BF"/>
          </w:tcPr>
          <w:p w14:paraId="76E4EE58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4150BD46" w14:textId="77777777" w:rsidTr="00C34665">
        <w:trPr>
          <w:trHeight w:val="1319"/>
        </w:trPr>
        <w:tc>
          <w:tcPr>
            <w:tcW w:w="1019" w:type="pct"/>
            <w:shd w:val="clear" w:color="auto" w:fill="D9D9D9" w:themeFill="background1" w:themeFillShade="D9"/>
          </w:tcPr>
          <w:p w14:paraId="5A0C0D08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1B5CC719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514EBFBB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551E44DF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D9D9D9" w:themeFill="background1" w:themeFillShade="D9"/>
          </w:tcPr>
          <w:p w14:paraId="0544F3FC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15C2CE56" w14:textId="77777777" w:rsidTr="00C34665">
        <w:trPr>
          <w:trHeight w:val="1319"/>
        </w:trPr>
        <w:tc>
          <w:tcPr>
            <w:tcW w:w="1019" w:type="pct"/>
            <w:shd w:val="clear" w:color="auto" w:fill="BFBFBF" w:themeFill="background1" w:themeFillShade="BF"/>
          </w:tcPr>
          <w:p w14:paraId="549228E8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BFBFBF" w:themeFill="background1" w:themeFillShade="BF"/>
          </w:tcPr>
          <w:p w14:paraId="06382081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3243AEA2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698F5869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BFBFBF" w:themeFill="background1" w:themeFillShade="BF"/>
          </w:tcPr>
          <w:p w14:paraId="3B3FB300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3DBDDDF9" w14:textId="77777777" w:rsidTr="00C34665">
        <w:trPr>
          <w:trHeight w:val="1319"/>
        </w:trPr>
        <w:tc>
          <w:tcPr>
            <w:tcW w:w="1019" w:type="pct"/>
            <w:shd w:val="clear" w:color="auto" w:fill="D9D9D9" w:themeFill="background1" w:themeFillShade="D9"/>
          </w:tcPr>
          <w:p w14:paraId="596BD528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18DD5219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7DA35881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D9D9D9" w:themeFill="background1" w:themeFillShade="D9"/>
          </w:tcPr>
          <w:p w14:paraId="7E873B61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D9D9D9" w:themeFill="background1" w:themeFillShade="D9"/>
          </w:tcPr>
          <w:p w14:paraId="24FDF572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F714EE" w:rsidRPr="00B5654B" w14:paraId="1065BD63" w14:textId="77777777" w:rsidTr="00C34665">
        <w:trPr>
          <w:trHeight w:val="1319"/>
        </w:trPr>
        <w:tc>
          <w:tcPr>
            <w:tcW w:w="1019" w:type="pct"/>
            <w:shd w:val="clear" w:color="auto" w:fill="BFBFBF" w:themeFill="background1" w:themeFillShade="BF"/>
          </w:tcPr>
          <w:p w14:paraId="1EAF037F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BFBFBF" w:themeFill="background1" w:themeFillShade="BF"/>
          </w:tcPr>
          <w:p w14:paraId="3B25D72F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35BCFAD2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</w:tcPr>
          <w:p w14:paraId="2DEF0E7A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BFBFBF" w:themeFill="background1" w:themeFillShade="BF"/>
          </w:tcPr>
          <w:p w14:paraId="470B1D09" w14:textId="77777777" w:rsidR="00F714EE" w:rsidRPr="0090570A" w:rsidRDefault="00F714EE" w:rsidP="0090570A">
            <w:pPr>
              <w:spacing w:before="0" w:after="0"/>
              <w:jc w:val="left"/>
              <w:rPr>
                <w:rFonts w:ascii="Corbel" w:hAnsi="Corbel" w:cs="Segoe UI"/>
                <w:sz w:val="18"/>
                <w:szCs w:val="18"/>
              </w:rPr>
            </w:pPr>
          </w:p>
        </w:tc>
      </w:tr>
      <w:tr w:rsidR="00CA462A" w:rsidRPr="00B5654B" w14:paraId="7C8FD8C0" w14:textId="77777777" w:rsidTr="00B242C0">
        <w:trPr>
          <w:cantSplit/>
          <w:trHeight w:val="454"/>
          <w:tblHeader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62471F1" w14:textId="77777777" w:rsidR="00CA462A" w:rsidRDefault="00CA462A" w:rsidP="00B242C0">
            <w:r w:rsidRPr="0060529C">
              <w:rPr>
                <w:b/>
              </w:rPr>
              <w:lastRenderedPageBreak/>
              <w:t>Ecological analysis</w:t>
            </w:r>
            <w:r w:rsidRPr="0060529C">
              <w:t xml:space="preserve"> can help key actors understand and appreciate the problems associated with the current situation and to accept the need for conservation efforts. </w:t>
            </w:r>
            <w:r>
              <w:t>It</w:t>
            </w:r>
            <w:r w:rsidRPr="0060529C">
              <w:t xml:space="preserve"> provide</w:t>
            </w:r>
            <w:r>
              <w:t>s</w:t>
            </w:r>
            <w:r w:rsidRPr="0060529C">
              <w:t xml:space="preserve"> evidence of bio-physical relationships between drivers of ecosystem change and (the loss of) biodiversity and ecosystems. For instance, analys</w:t>
            </w:r>
            <w:r>
              <w:t>i</w:t>
            </w:r>
            <w:r w:rsidRPr="0060529C">
              <w:t xml:space="preserve">s can demonstrate the effects of forest conversion on </w:t>
            </w:r>
            <w:r>
              <w:t xml:space="preserve">the </w:t>
            </w:r>
            <w:r w:rsidRPr="0060529C">
              <w:t xml:space="preserve">occurrence of flood and drought events, </w:t>
            </w:r>
            <w:r>
              <w:t xml:space="preserve">on </w:t>
            </w:r>
            <w:r w:rsidRPr="0060529C">
              <w:t>sedimentation rates, or on carbon sequestration. Ecological studies can also be necessary to understand the effectiveness of different management options (e.g.</w:t>
            </w:r>
            <w:r>
              <w:t xml:space="preserve"> </w:t>
            </w:r>
            <w:r w:rsidRPr="0060529C">
              <w:t>conservation activities</w:t>
            </w:r>
            <w:r>
              <w:t xml:space="preserve"> or</w:t>
            </w:r>
            <w:r w:rsidRPr="0060529C">
              <w:t xml:space="preserve"> agricultural management schemes) on biodiversity and ecosystem services provision or other relevant environmental indicators (e.g. quality of water, soil or air).</w:t>
            </w:r>
          </w:p>
          <w:p w14:paraId="7F33FD0B" w14:textId="77777777" w:rsidR="00CA462A" w:rsidRPr="00194F3D" w:rsidRDefault="00CA462A" w:rsidP="00B242C0">
            <w:r w:rsidRPr="00194F3D">
              <w:t>In some cases, it can be useful to conduct</w:t>
            </w:r>
            <w:r>
              <w:t xml:space="preserve"> an</w:t>
            </w:r>
            <w:r w:rsidRPr="00194F3D">
              <w:t xml:space="preserve"> </w:t>
            </w:r>
            <w:r w:rsidRPr="0060529C">
              <w:rPr>
                <w:b/>
              </w:rPr>
              <w:t>ecosystem services valuation</w:t>
            </w:r>
            <w:r w:rsidRPr="00194F3D">
              <w:t xml:space="preserve"> to illustrate how changes in ecosystem service provision affect the wellbeing or economic values (damage, benefits, etc.) </w:t>
            </w:r>
            <w:r>
              <w:t>of</w:t>
            </w:r>
            <w:r w:rsidRPr="00194F3D">
              <w:t xml:space="preserve"> relevant stakeholder groups. Such studies typically require interdisciplinary work on ecosystem services, linking bio-physical and socio-economic analyses. Consider for instance the effects of an increase in watershed forest cover from 10% to 20%, of a change from cash crop monoculture to agro-forestry, or </w:t>
            </w:r>
            <w:r>
              <w:t xml:space="preserve">of </w:t>
            </w:r>
            <w:r w:rsidRPr="00194F3D">
              <w:t xml:space="preserve">removing an agricultural subsidy, or of a new law allowing no livestock within 100m of </w:t>
            </w:r>
            <w:r>
              <w:t xml:space="preserve">a </w:t>
            </w:r>
            <w:r w:rsidRPr="00194F3D">
              <w:t xml:space="preserve">river to reduce bacteria. These analyses </w:t>
            </w:r>
            <w:r>
              <w:t>must</w:t>
            </w:r>
            <w:r w:rsidRPr="00194F3D">
              <w:t xml:space="preserve"> determine </w:t>
            </w:r>
            <w:r>
              <w:t xml:space="preserve">the </w:t>
            </w:r>
            <w:r w:rsidRPr="00194F3D">
              <w:t xml:space="preserve">ecological effects of different management options before </w:t>
            </w:r>
            <w:r>
              <w:t>assessment</w:t>
            </w:r>
            <w:r w:rsidRPr="00194F3D">
              <w:t xml:space="preserve"> </w:t>
            </w:r>
            <w:r>
              <w:t>is possible</w:t>
            </w:r>
            <w:r w:rsidRPr="00194F3D">
              <w:t xml:space="preserve"> of the result</w:t>
            </w:r>
            <w:r>
              <w:t>ant</w:t>
            </w:r>
            <w:r w:rsidRPr="00194F3D">
              <w:t xml:space="preserve"> ecosystem service provision and </w:t>
            </w:r>
            <w:r>
              <w:t xml:space="preserve">its </w:t>
            </w:r>
            <w:r w:rsidRPr="00194F3D">
              <w:t xml:space="preserve">effects </w:t>
            </w:r>
            <w:r>
              <w:t xml:space="preserve">on the </w:t>
            </w:r>
            <w:r w:rsidRPr="00194F3D">
              <w:t xml:space="preserve">wellbeing </w:t>
            </w:r>
            <w:r>
              <w:t>of</w:t>
            </w:r>
            <w:r w:rsidRPr="00194F3D">
              <w:t xml:space="preserve"> different stakeholders. It will be crucial to use appropriate indicators, both for bio-physical and socio-economic analysis and to </w:t>
            </w:r>
            <w:r>
              <w:t>gain</w:t>
            </w:r>
            <w:r w:rsidRPr="00194F3D">
              <w:t xml:space="preserve"> access to the necessary data. Should economic valuation of ecosystem services be applied, then </w:t>
            </w:r>
            <w:r>
              <w:t>the</w:t>
            </w:r>
            <w:r w:rsidRPr="00194F3D">
              <w:t xml:space="preserve"> choice of </w:t>
            </w:r>
            <w:r>
              <w:t>appropriate</w:t>
            </w:r>
            <w:r w:rsidRPr="00194F3D">
              <w:t xml:space="preserve"> valuation technique(s) is crucial for generating credible and useful results. </w:t>
            </w:r>
            <w:r>
              <w:t>V</w:t>
            </w:r>
            <w:r w:rsidRPr="00194F3D">
              <w:t>aluation methods are chosen depending on the problem statement, the type of ecosystem service, and the local cultural context.</w:t>
            </w:r>
            <w:r>
              <w:t xml:space="preserve"> </w:t>
            </w:r>
            <w:r w:rsidRPr="00194F3D">
              <w:t>It is difficult to make general recommendations</w:t>
            </w:r>
            <w:r>
              <w:t>.</w:t>
            </w:r>
            <w:r w:rsidRPr="00194F3D">
              <w:t xml:space="preserve"> </w:t>
            </w:r>
            <w:r>
              <w:t>T</w:t>
            </w:r>
            <w:r w:rsidRPr="00194F3D">
              <w:t>he valuation expert will have to be aware of the merits and limits of different methods and select the approach that best suits the</w:t>
            </w:r>
            <w:r>
              <w:t xml:space="preserve"> situation and purpose at hand.</w:t>
            </w:r>
          </w:p>
          <w:p w14:paraId="087F8EAD" w14:textId="77777777" w:rsidR="00CA462A" w:rsidRPr="00194F3D" w:rsidRDefault="00CA462A" w:rsidP="00B242C0">
            <w:r w:rsidRPr="00194F3D">
              <w:t xml:space="preserve">Another type of study </w:t>
            </w:r>
            <w:r>
              <w:t>is</w:t>
            </w:r>
            <w:r w:rsidRPr="00194F3D">
              <w:t xml:space="preserve"> </w:t>
            </w:r>
            <w:r w:rsidRPr="00194F3D">
              <w:rPr>
                <w:b/>
              </w:rPr>
              <w:t>market analys</w:t>
            </w:r>
            <w:r>
              <w:rPr>
                <w:b/>
              </w:rPr>
              <w:t>i</w:t>
            </w:r>
            <w:r w:rsidRPr="00194F3D">
              <w:rPr>
                <w:b/>
              </w:rPr>
              <w:t>s</w:t>
            </w:r>
            <w:r w:rsidRPr="00194F3D">
              <w:t xml:space="preserve">. </w:t>
            </w:r>
            <w:r>
              <w:t>Before introducing</w:t>
            </w:r>
            <w:r w:rsidRPr="00194F3D">
              <w:t xml:space="preserve"> an innovative ecological product</w:t>
            </w:r>
            <w:r>
              <w:t>,</w:t>
            </w:r>
            <w:r w:rsidRPr="00194F3D">
              <w:t xml:space="preserve"> a market analysis of </w:t>
            </w:r>
            <w:r>
              <w:t>its</w:t>
            </w:r>
            <w:r w:rsidRPr="00194F3D">
              <w:t xml:space="preserve"> sales potential and distribution channels for ecological products </w:t>
            </w:r>
            <w:r>
              <w:t>may</w:t>
            </w:r>
            <w:r w:rsidRPr="00194F3D">
              <w:t xml:space="preserve"> be required. Or you may want to </w:t>
            </w:r>
            <w:r>
              <w:t>determine</w:t>
            </w:r>
            <w:r w:rsidRPr="00194F3D">
              <w:t xml:space="preserve"> the potential of a product certification scheme (eco-label) and consumer demand for a certified product, or identify options </w:t>
            </w:r>
            <w:r>
              <w:t>for joining</w:t>
            </w:r>
            <w:r w:rsidRPr="00194F3D">
              <w:t xml:space="preserve"> existing certification schemes.</w:t>
            </w:r>
          </w:p>
          <w:p w14:paraId="20914A1B" w14:textId="77777777" w:rsidR="00CA462A" w:rsidRPr="00194F3D" w:rsidRDefault="00CA462A" w:rsidP="00B242C0">
            <w:r w:rsidRPr="00194F3D">
              <w:rPr>
                <w:b/>
              </w:rPr>
              <w:t>Cost assessments</w:t>
            </w:r>
            <w:r w:rsidRPr="00194F3D">
              <w:t xml:space="preserve"> are an additional type of useful analys</w:t>
            </w:r>
            <w:r>
              <w:t>i</w:t>
            </w:r>
            <w:r w:rsidRPr="00194F3D">
              <w:t>s.</w:t>
            </w:r>
            <w:r>
              <w:t xml:space="preserve"> </w:t>
            </w:r>
            <w:r w:rsidRPr="00194F3D">
              <w:t xml:space="preserve">Sometimes </w:t>
            </w:r>
            <w:r w:rsidRPr="00194F3D">
              <w:rPr>
                <w:b/>
              </w:rPr>
              <w:t>direct costs</w:t>
            </w:r>
            <w:r w:rsidRPr="00194F3D">
              <w:t xml:space="preserve"> have to be estimated to </w:t>
            </w:r>
            <w:r>
              <w:t>work out</w:t>
            </w:r>
            <w:r w:rsidRPr="00194F3D">
              <w:t xml:space="preserve"> the financing of proposed activities (e.g. reforestation, wetland restoration, change to organic agriculture, wildlife monitoring), or to weigh the cost-effectiveness of different options. Determining </w:t>
            </w:r>
            <w:r w:rsidRPr="00194F3D">
              <w:rPr>
                <w:b/>
              </w:rPr>
              <w:t>opportunity costs</w:t>
            </w:r>
            <w:r w:rsidRPr="00194F3D">
              <w:t xml:space="preserve"> is frequently useful when the economic instrument (e.g. a PES scheme) involves motivating providers of ES to forego more </w:t>
            </w:r>
            <w:r>
              <w:t>profitable</w:t>
            </w:r>
            <w:r w:rsidRPr="00194F3D">
              <w:t xml:space="preserve"> activities (e.g. monoculture land use, pesticide use, exploitation of forest resources, </w:t>
            </w:r>
            <w:r>
              <w:t xml:space="preserve">or </w:t>
            </w:r>
            <w:r w:rsidRPr="00194F3D">
              <w:t>over-fishing). Knowing opportunity costs can help understand the barriers to participation in the economic instrument and how to motivate ES provider</w:t>
            </w:r>
            <w:r>
              <w:t>s</w:t>
            </w:r>
            <w:r w:rsidRPr="00194F3D">
              <w:t xml:space="preserve"> to participate. In some cases, this motivation may </w:t>
            </w:r>
            <w:r>
              <w:t>be financial</w:t>
            </w:r>
            <w:r w:rsidRPr="00194F3D">
              <w:t xml:space="preserve">, in which case the opportunity costs can </w:t>
            </w:r>
            <w:r>
              <w:t>help to decide</w:t>
            </w:r>
            <w:r w:rsidRPr="00194F3D">
              <w:t xml:space="preserve"> </w:t>
            </w:r>
            <w:r>
              <w:t>how much should</w:t>
            </w:r>
            <w:r w:rsidRPr="00194F3D">
              <w:t xml:space="preserve"> be paid.</w:t>
            </w:r>
          </w:p>
          <w:p w14:paraId="00D4BDB0" w14:textId="77777777" w:rsidR="00CA462A" w:rsidRPr="00194F3D" w:rsidRDefault="00CA462A" w:rsidP="00B242C0">
            <w:r w:rsidRPr="00194F3D">
              <w:rPr>
                <w:b/>
              </w:rPr>
              <w:t>Legal analyses</w:t>
            </w:r>
            <w:r w:rsidRPr="00194F3D">
              <w:t xml:space="preserve"> can be important</w:t>
            </w:r>
            <w:r>
              <w:t>,</w:t>
            </w:r>
            <w:r w:rsidRPr="00194F3D">
              <w:t xml:space="preserve"> </w:t>
            </w:r>
            <w:r>
              <w:t>especially</w:t>
            </w:r>
            <w:r w:rsidRPr="00194F3D">
              <w:t xml:space="preserve"> when the legal situation </w:t>
            </w:r>
            <w:r>
              <w:t>regarding</w:t>
            </w:r>
            <w:r w:rsidRPr="00194F3D">
              <w:t xml:space="preserve"> land use or property rights is unclear, or </w:t>
            </w:r>
            <w:r>
              <w:t>when you have to decide which legal entity (such as associations, cooperatives, or a limited liability corporation) is most suitable to be part of the proposed</w:t>
            </w:r>
            <w:r w:rsidRPr="00194F3D">
              <w:t xml:space="preserve"> institutional arrangement. </w:t>
            </w:r>
          </w:p>
          <w:p w14:paraId="7C7DAE2C" w14:textId="77777777" w:rsidR="00CA462A" w:rsidRPr="0021247E" w:rsidRDefault="00CA462A" w:rsidP="00B242C0">
            <w:pPr>
              <w:spacing w:before="0" w:after="0"/>
              <w:jc w:val="left"/>
              <w:rPr>
                <w:rFonts w:ascii="Corbel" w:hAnsi="Corbel" w:cs="Segoe UI"/>
                <w:b/>
                <w:sz w:val="20"/>
                <w:szCs w:val="20"/>
              </w:rPr>
            </w:pPr>
            <w:r w:rsidRPr="00194F3D">
              <w:t>Finally, other types of studies, such as an analysis of the workings of specific institu</w:t>
            </w:r>
            <w:r w:rsidRPr="00B73B11">
              <w:t>tions (e.g. water or agricultural authorities), or the assessment of community norms that currently govern resource use</w:t>
            </w:r>
            <w:r>
              <w:t>,</w:t>
            </w:r>
            <w:r w:rsidRPr="00B73B11">
              <w:t xml:space="preserve"> can also play an important role.</w:t>
            </w:r>
          </w:p>
        </w:tc>
      </w:tr>
    </w:tbl>
    <w:p w14:paraId="31039269" w14:textId="713E9E49" w:rsidR="00D546A7" w:rsidRPr="00BF5D73" w:rsidRDefault="00D546A7" w:rsidP="00A8421D">
      <w:pPr>
        <w:spacing w:before="0" w:after="0"/>
        <w:jc w:val="left"/>
        <w:rPr>
          <w:rFonts w:eastAsia="Times New Roman"/>
          <w:b/>
          <w:bCs/>
          <w:iCs/>
          <w:sz w:val="12"/>
          <w:szCs w:val="12"/>
        </w:rPr>
      </w:pPr>
    </w:p>
    <w:sectPr w:rsidR="00D546A7" w:rsidRPr="00BF5D73" w:rsidSect="00CA462A">
      <w:footerReference w:type="even" r:id="rId9"/>
      <w:foot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FCE5B" w14:textId="77777777" w:rsidR="005A2105" w:rsidRDefault="005A2105" w:rsidP="00766390">
      <w:pPr>
        <w:spacing w:after="0"/>
      </w:pPr>
      <w:r>
        <w:separator/>
      </w:r>
    </w:p>
    <w:p w14:paraId="6BCC4BA1" w14:textId="77777777" w:rsidR="005A2105" w:rsidRDefault="005A2105"/>
    <w:p w14:paraId="177E3FC6" w14:textId="77777777" w:rsidR="005A2105" w:rsidRDefault="005A2105"/>
  </w:endnote>
  <w:endnote w:type="continuationSeparator" w:id="0">
    <w:p w14:paraId="6D99064B" w14:textId="77777777" w:rsidR="005A2105" w:rsidRDefault="005A2105" w:rsidP="00766390">
      <w:pPr>
        <w:spacing w:after="0"/>
      </w:pPr>
      <w:r>
        <w:continuationSeparator/>
      </w:r>
    </w:p>
    <w:p w14:paraId="22935592" w14:textId="77777777" w:rsidR="005A2105" w:rsidRDefault="005A2105"/>
    <w:p w14:paraId="0946924A" w14:textId="77777777" w:rsidR="005A2105" w:rsidRDefault="005A2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47440F56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CA462A" w:rsidRPr="00CA462A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BC28" w14:textId="2BD1CAAF" w:rsidR="008251E3" w:rsidRPr="008251E3" w:rsidRDefault="008251E3" w:rsidP="00C34665">
    <w:pPr>
      <w:pStyle w:val="Fuzeile"/>
      <w:tabs>
        <w:tab w:val="left" w:pos="13820"/>
        <w:tab w:val="right" w:pos="14570"/>
      </w:tabs>
      <w:jc w:val="left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EF5D" w14:textId="77777777" w:rsidR="005A2105" w:rsidRDefault="005A2105" w:rsidP="00766390">
      <w:pPr>
        <w:spacing w:after="0"/>
      </w:pPr>
      <w:r>
        <w:separator/>
      </w:r>
    </w:p>
  </w:footnote>
  <w:footnote w:type="continuationSeparator" w:id="0">
    <w:p w14:paraId="694C291C" w14:textId="77777777" w:rsidR="005A2105" w:rsidRDefault="005A2105" w:rsidP="00766390">
      <w:pPr>
        <w:spacing w:after="0"/>
      </w:pPr>
      <w:r>
        <w:continuationSeparator/>
      </w:r>
    </w:p>
    <w:p w14:paraId="29D1F908" w14:textId="77777777" w:rsidR="005A2105" w:rsidRDefault="005A2105"/>
    <w:p w14:paraId="774B63EC" w14:textId="77777777" w:rsidR="005A2105" w:rsidRDefault="005A2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17358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4DF1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106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146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6ED6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105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414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1FBC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70A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BF5D7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4665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62A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9D9D830B-84D7-48BB-BA3F-FB0A590B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978F8C-B812-415B-ABF2-410BBFE2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4398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7</cp:revision>
  <cp:lastPrinted>2018-03-20T14:55:00Z</cp:lastPrinted>
  <dcterms:created xsi:type="dcterms:W3CDTF">2018-07-12T12:47:00Z</dcterms:created>
  <dcterms:modified xsi:type="dcterms:W3CDTF">2018-08-03T17:19:00Z</dcterms:modified>
</cp:coreProperties>
</file>